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STK 2024 8 vom 29. November 2024</w:t>
      </w:r>
    </w:p>
    <w:p>
      <w:r>
        <w:t>SZ Gerichte, 2024-11-29, DE</w:t>
      </w:r>
    </w:p>
    <w:p>
      <w:r>
        <w:rPr>
          <w:b/>
        </w:rPr>
        <w:t xml:space="preserve">Quelle: </w:t>
      </w:r>
      <w:r>
        <w:t>https://mcp.opencaselaw.ch/entscheid/sz_gerichte_STK 2024 8</w:t>
      </w:r>
    </w:p>
    <w:p>
      <w:r>
        <w:t>FR: SZ_GERICHTE STK 2024 8 du 29 novembre 2024</w:t>
      </w:r>
    </w:p>
    <w:p>
      <w:r>
        <w:t>IT: SZ_GERICHTE STK 2024 8 del 29 novembre 2024</w:t>
      </w:r>
    </w:p>
    <w:p>
      <w:pPr>
        <w:pStyle w:val="Heading2"/>
      </w:pPr>
      <w:r>
        <w:t>Regeste</w:t>
      </w:r>
    </w:p>
    <w:p>
      <w:r>
        <w:t>grobe Verletzung der Verkehrsregeln | Strassenverkehrsrecht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Das Berufungsverfahren stellt keine Wiederholung des erstinstanzli- chen Verfahrens dar und das Berufungsgericht ist auch keine zweite Erstinstanz; vielmehr knüpft es an das erstinstanzliche Verfahren an und baut darauf auf (BGer 6B_224/2023 vom 26. Oktober 2023 E. 4.2.2 m.H.; BGer 7B_15/2021 vom 19. September 2023 E. 4.2.2 m.H.). Das Berufungsgericht</w:t>
      </w:r>
    </w:p>
    <w:p>
      <w:r>
        <w:t>Kantonsgericht Schwyz 4 kann daher einerseits gemäss Art. 82 Abs. 4 StPO für die tatsächliche und rechtliche Würdigung des angeklagten Sachverhalts auf die Begründung der Vorinstanz verweisen, wenn es dieser beipflichtet (BGer 7B_257/2022 vom</w:t>
      </w:r>
    </w:p>
    <w:p>
      <w:r>
        <w:rPr>
          <w:b/>
        </w:rPr>
        <w:t>E. 4</w:t>
      </w:r>
    </w:p>
    <w:p>
      <w:r>
        <w:t>Die Vorinstanz legte die Grundlagen der im Berufungsverfahren nicht bestrittenen Strafzumessung zutreffend dar. Darauf kann verwiesen werden (angef. Urteil E. 3 sowie oben E. 3 vor lit. 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